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8" w:rsidRDefault="000918E6" w:rsidP="000759C4">
      <w:pPr>
        <w:pStyle w:val="Nadpis1"/>
        <w:shd w:val="clear" w:color="auto" w:fill="FFFFFF"/>
        <w:spacing w:before="120" w:beforeAutospacing="0" w:after="120" w:afterAutospacing="0"/>
        <w:rPr>
          <w:bCs w:val="0"/>
          <w:color w:val="333E76"/>
          <w:sz w:val="24"/>
          <w:szCs w:val="24"/>
          <w:u w:val="single"/>
        </w:rPr>
      </w:pPr>
      <w:bookmarkStart w:id="0" w:name="_GoBack"/>
      <w:bookmarkEnd w:id="0"/>
      <w:r w:rsidRPr="00EF4478">
        <w:rPr>
          <w:sz w:val="24"/>
          <w:szCs w:val="24"/>
          <w:u w:val="single"/>
        </w:rPr>
        <w:t>Otázky ke státní zkoušce z vedlejší specializace</w:t>
      </w:r>
      <w:r w:rsidR="00870268" w:rsidRPr="00EF4478">
        <w:rPr>
          <w:sz w:val="24"/>
          <w:szCs w:val="24"/>
          <w:u w:val="single"/>
        </w:rPr>
        <w:t xml:space="preserve"> </w:t>
      </w:r>
      <w:r w:rsidR="00870268" w:rsidRPr="00EF4478">
        <w:rPr>
          <w:bCs w:val="0"/>
          <w:color w:val="333E76"/>
          <w:sz w:val="24"/>
          <w:szCs w:val="24"/>
          <w:u w:val="single"/>
        </w:rPr>
        <w:t>Turnaround Management</w:t>
      </w:r>
    </w:p>
    <w:p w:rsidR="000759C4" w:rsidRDefault="000759C4" w:rsidP="000759C4">
      <w:pPr>
        <w:pStyle w:val="Odstavecseseznamem"/>
        <w:spacing w:before="120" w:after="120" w:line="240" w:lineRule="auto"/>
        <w:ind w:left="39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59C4" w:rsidRPr="000759C4" w:rsidRDefault="000759C4" w:rsidP="000759C4">
      <w:pPr>
        <w:spacing w:before="120" w:after="12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b/>
          <w:sz w:val="24"/>
          <w:szCs w:val="24"/>
        </w:rPr>
        <w:t>SG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759C4">
        <w:rPr>
          <w:rFonts w:ascii="Times New Roman" w:eastAsia="Times New Roman" w:hAnsi="Times New Roman" w:cs="Times New Roman"/>
          <w:b/>
          <w:sz w:val="24"/>
          <w:szCs w:val="24"/>
        </w:rPr>
        <w:t>21 Transformace a restrukturalizace podniku</w:t>
      </w:r>
    </w:p>
    <w:p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Životní cykly podniku, jeho fáze, krize, příčiny krize. Role managementu, akcionářů a věřitelů v jednotlivých fázích životního cyklu.</w:t>
      </w:r>
    </w:p>
    <w:p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Posouzení schopnosti další existence podniku, předpoklady trvalé existence podniku, finanční plán</w:t>
      </w:r>
      <w:r w:rsidR="00EF4478" w:rsidRPr="000759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59C4">
        <w:rPr>
          <w:rFonts w:ascii="Times New Roman" w:eastAsia="Times New Roman" w:hAnsi="Times New Roman" w:cs="Times New Roman"/>
          <w:sz w:val="24"/>
          <w:szCs w:val="24"/>
        </w:rPr>
        <w:t>Independent business review. </w:t>
      </w:r>
    </w:p>
    <w:p w:rsidR="00EF4478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Základní způsoby řešení krize podniku</w:t>
      </w:r>
      <w:r w:rsidR="00EF4478" w:rsidRPr="000759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759C4">
        <w:rPr>
          <w:rFonts w:ascii="Times New Roman" w:eastAsia="Times New Roman" w:hAnsi="Times New Roman" w:cs="Times New Roman"/>
          <w:sz w:val="24"/>
          <w:szCs w:val="24"/>
        </w:rPr>
        <w:t>transformace,</w:t>
      </w:r>
      <w:r w:rsidR="00EF4478" w:rsidRPr="000759C4">
        <w:rPr>
          <w:rFonts w:ascii="Times New Roman" w:eastAsia="Times New Roman" w:hAnsi="Times New Roman" w:cs="Times New Roman"/>
          <w:sz w:val="24"/>
          <w:szCs w:val="24"/>
        </w:rPr>
        <w:t xml:space="preserve"> restrukturalizace, reorganizace, konkurz</w:t>
      </w:r>
      <w:r w:rsidRPr="00075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Valuace variant řešení (metoda DCF vs. likvidační hodnota).</w:t>
      </w:r>
    </w:p>
    <w:p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Financování podniku v době krize, financování pracovního kapitálu, krátkodobé financování, mezanninové financování, redeemable preferred shares, factoring, leasing, prodej nepotřebný aktiv, tollingové financování, debtor-in-possession financing.</w:t>
      </w:r>
    </w:p>
    <w:p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Úpadek  (insolvence) podniku, definice úpadku (insolvence), liquidity test, balance test, principy insolvenčního řízení, reorganizace, moratorium, předbalená reorganizace, věřitelská reorganizace, dlužnická reorganizace, sanační konkurz, likvidační konkurz.</w:t>
      </w:r>
    </w:p>
    <w:p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Úloha managementu v transformaci, restrukturalizaci firmy, rozdílné zájmy a motivace stakeholderů, morální hazard, vězňovo dilema a krize p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</w:rPr>
        <w:t>odniku, asymetrie informací.</w:t>
      </w:r>
    </w:p>
    <w:p w:rsidR="000759C4" w:rsidRDefault="000759C4" w:rsidP="000759C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59C4" w:rsidRDefault="000918E6" w:rsidP="000759C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3SG822</w:t>
      </w:r>
      <w:r w:rsidR="00075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Due Diligence</w:t>
      </w:r>
    </w:p>
    <w:p w:rsidR="000918E6" w:rsidRPr="006F6E56" w:rsidRDefault="001426B8" w:rsidP="006F6E56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Podstata a zaměření Due Diligence</w:t>
      </w:r>
      <w:r w:rsidR="000759C4"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26B8" w:rsidRPr="006F6E56" w:rsidRDefault="001426B8" w:rsidP="006F6E56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provedení Due Diligence</w:t>
      </w:r>
      <w:r w:rsidR="000759C4"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26B8" w:rsidRPr="006F6E56" w:rsidRDefault="001426B8" w:rsidP="006F6E56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Obchodní, finanční a daňová Due Diligence</w:t>
      </w:r>
      <w:r w:rsidR="000759C4"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26B8" w:rsidRPr="006F6E56" w:rsidRDefault="001426B8" w:rsidP="006F6E56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a korupční Due Diligence</w:t>
      </w:r>
      <w:r w:rsidR="000759C4"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26B8" w:rsidRPr="006F6E56" w:rsidRDefault="001426B8" w:rsidP="006F6E56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Due Diligence v oblasti  M&amp;A transakcí</w:t>
      </w:r>
      <w:r w:rsidR="000759C4"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4478" w:rsidRPr="006F6E56" w:rsidRDefault="00EF4478" w:rsidP="006F6E56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Vypovídající schopnost účetních výkazů pro potřeby Due Diligence</w:t>
      </w:r>
      <w:r w:rsidR="000759C4"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F4478" w:rsidRPr="00EF4478" w:rsidRDefault="00EF4478" w:rsidP="000759C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59C4" w:rsidRDefault="000918E6" w:rsidP="000759C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3SG823</w:t>
      </w:r>
      <w:r w:rsidR="00075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Hodnota podniku</w:t>
      </w:r>
    </w:p>
    <w:p w:rsidR="000759C4" w:rsidRPr="000759C4" w:rsidRDefault="00EF4478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pojmy při oceňování podniku, objekty a důvody ocenění, základní standardy ocenění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59C4" w:rsidRPr="000759C4" w:rsidRDefault="00EF4478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oceňování podniku a jejich volba ve vazbě na účel ocenění -- výnosové metody, metody na základě analýzy trhu, metody na základě analýzy majetku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59C4" w:rsidRPr="000759C4" w:rsidRDefault="00EF4478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 oceňování podniku. Základní náležitosti znaleckých posudků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59C4" w:rsidRPr="000759C4" w:rsidRDefault="00EF4478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Strategická analýza, finanční analýza, plánování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59C4" w:rsidRPr="000759C4" w:rsidRDefault="000759C4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Diskontní míra v rámci výnosových metod a přístupy k jejímu odhadu.</w:t>
      </w:r>
    </w:p>
    <w:p w:rsidR="000759C4" w:rsidRPr="000759C4" w:rsidRDefault="000759C4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Style w:val="Hypertextovodkaz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Synergie a možnosti jejich ocenění</w:t>
      </w:r>
    </w:p>
    <w:p w:rsidR="000918E6" w:rsidRPr="00EF4478" w:rsidRDefault="000918E6" w:rsidP="000759C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59C4" w:rsidRDefault="000918E6" w:rsidP="000759C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3SG824</w:t>
      </w:r>
      <w:r w:rsidR="00075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Analýza rizika a finanční modelování</w:t>
      </w:r>
    </w:p>
    <w:p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Metody a nástroje pro identifikaci rizik ve firmě. </w:t>
      </w:r>
    </w:p>
    <w:p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Metody a metriky používané při kvantifikaci (vyhodnocení) rizika ve firmě.</w:t>
      </w:r>
    </w:p>
    <w:p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Význam ERM (Enterprise Risk Management) ve strategickém řízení firmy. Fáze cyklu řízení rizik.</w:t>
      </w:r>
    </w:p>
    <w:p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Role stochastických simulačních metod v analýze rizika. Metoda Monte Carlo (princip, sestavení modelu, interpretace výstupů simulace).</w:t>
      </w:r>
    </w:p>
    <w:p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Analýza rizika s využitím scénářů a rozhodovacích stromů. </w:t>
      </w:r>
    </w:p>
    <w:p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Analýza citlivosti a její význam při analýze rizika. Použití analýzy citlivosti ve strategickém finančním plánu. </w:t>
      </w:r>
    </w:p>
    <w:p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Systematické a jedinečné riziko, jejich kvantifikace a zahrnutí do diskontní sazby projektu. </w:t>
      </w:r>
    </w:p>
    <w:p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Výběr (redukce) rizikových variant. Pravidla střední hodnoty a rozptylu. Pravidla stochastické dominance.</w:t>
      </w:r>
    </w:p>
    <w:p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Strategie a nástroje řízení rizik. Příklady.</w:t>
      </w:r>
    </w:p>
    <w:p w:rsidR="000918E6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Rating a jeho význam v risk managementu firmy. </w:t>
      </w:r>
    </w:p>
    <w:p w:rsidR="00300B7B" w:rsidRPr="00EF4478" w:rsidRDefault="00300B7B" w:rsidP="000759C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0B7B" w:rsidRPr="00EF4478" w:rsidRDefault="000918E6" w:rsidP="000759C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3SG825</w:t>
      </w:r>
      <w:r w:rsidR="00075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759C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Správa společností</w:t>
      </w:r>
      <w:r w:rsidR="000759C4" w:rsidRPr="00EF4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8F" w:rsidRPr="00EF4478" w:rsidRDefault="00EA4E8F" w:rsidP="000759C4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Teoretická východiska správy společností (problém zastupitelnosti, oddělení vlastnictví od řízení, smluvní vztah, morální hazard)</w:t>
      </w:r>
    </w:p>
    <w:p w:rsidR="00EA4E8F" w:rsidRPr="00EF4478" w:rsidRDefault="00EA4E8F" w:rsidP="000759C4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Hlavní teorie správy společností</w:t>
      </w:r>
    </w:p>
    <w:p w:rsidR="00EA4E8F" w:rsidRPr="00EF4478" w:rsidRDefault="00EA4E8F" w:rsidP="000759C4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Modely správních orgánů</w:t>
      </w:r>
    </w:p>
    <w:p w:rsidR="00EA4E8F" w:rsidRPr="00EF4478" w:rsidRDefault="00EA4E8F" w:rsidP="000759C4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Mechanismy vlastnické kontroly společnosti</w:t>
      </w:r>
    </w:p>
    <w:p w:rsidR="00EA4E8F" w:rsidRPr="00EF4478" w:rsidRDefault="00EA4E8F" w:rsidP="000759C4">
      <w:pPr>
        <w:pStyle w:val="Odstavecseseznamem"/>
        <w:numPr>
          <w:ilvl w:val="0"/>
          <w:numId w:val="6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Rozdíly mezi vztahem zastupitelnosti typu I a II (vztah vlastník-manažer a vlastník-vlastník)</w:t>
      </w:r>
    </w:p>
    <w:p w:rsidR="00EA4E8F" w:rsidRPr="00EF4478" w:rsidRDefault="00EA4E8F" w:rsidP="000759C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268" w:rsidRPr="00EF4478" w:rsidRDefault="00870268" w:rsidP="000759C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478">
        <w:rPr>
          <w:rFonts w:ascii="Times New Roman" w:hAnsi="Times New Roman" w:cs="Times New Roman"/>
          <w:b/>
          <w:sz w:val="24"/>
          <w:szCs w:val="24"/>
        </w:rPr>
        <w:t>Doporučená literatura ke studiu je vždy uvedena v sylabu předmětu!</w:t>
      </w:r>
    </w:p>
    <w:p w:rsidR="000918E6" w:rsidRPr="00EF4478" w:rsidRDefault="000918E6" w:rsidP="000759C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918E6" w:rsidRPr="00EF4478" w:rsidRDefault="000918E6" w:rsidP="000759C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18E6" w:rsidRPr="00EF4478" w:rsidRDefault="000918E6">
      <w:pPr>
        <w:rPr>
          <w:rFonts w:ascii="Times New Roman" w:hAnsi="Times New Roman" w:cs="Times New Roman"/>
          <w:sz w:val="24"/>
          <w:szCs w:val="24"/>
        </w:rPr>
      </w:pPr>
    </w:p>
    <w:sectPr w:rsidR="000918E6" w:rsidRPr="00EF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91" w:rsidRDefault="005C0291" w:rsidP="00812F21">
      <w:pPr>
        <w:spacing w:after="0" w:line="240" w:lineRule="auto"/>
      </w:pPr>
      <w:r>
        <w:separator/>
      </w:r>
    </w:p>
  </w:endnote>
  <w:endnote w:type="continuationSeparator" w:id="0">
    <w:p w:rsidR="005C0291" w:rsidRDefault="005C0291" w:rsidP="0081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91" w:rsidRDefault="005C0291" w:rsidP="00812F21">
      <w:pPr>
        <w:spacing w:after="0" w:line="240" w:lineRule="auto"/>
      </w:pPr>
      <w:r>
        <w:separator/>
      </w:r>
    </w:p>
  </w:footnote>
  <w:footnote w:type="continuationSeparator" w:id="0">
    <w:p w:rsidR="005C0291" w:rsidRDefault="005C0291" w:rsidP="0081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1CC"/>
    <w:multiLevelType w:val="hybridMultilevel"/>
    <w:tmpl w:val="702CA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B41"/>
    <w:multiLevelType w:val="hybridMultilevel"/>
    <w:tmpl w:val="7A1E35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37A5"/>
    <w:multiLevelType w:val="hybridMultilevel"/>
    <w:tmpl w:val="CD12D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219"/>
    <w:multiLevelType w:val="hybridMultilevel"/>
    <w:tmpl w:val="DE26E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0BC5"/>
    <w:multiLevelType w:val="multilevel"/>
    <w:tmpl w:val="69AE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966CE"/>
    <w:multiLevelType w:val="hybridMultilevel"/>
    <w:tmpl w:val="605ADB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147DA"/>
    <w:multiLevelType w:val="hybridMultilevel"/>
    <w:tmpl w:val="6BC4C6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8BF"/>
    <w:multiLevelType w:val="hybridMultilevel"/>
    <w:tmpl w:val="1B04B5F4"/>
    <w:lvl w:ilvl="0" w:tplc="073497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35F99"/>
    <w:multiLevelType w:val="hybridMultilevel"/>
    <w:tmpl w:val="C9A414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894086"/>
    <w:multiLevelType w:val="hybridMultilevel"/>
    <w:tmpl w:val="AF1C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5357F"/>
    <w:multiLevelType w:val="hybridMultilevel"/>
    <w:tmpl w:val="16F2A9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C529EA"/>
    <w:multiLevelType w:val="hybridMultilevel"/>
    <w:tmpl w:val="3E8603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6"/>
    <w:rsid w:val="000759C4"/>
    <w:rsid w:val="000918E6"/>
    <w:rsid w:val="001426B8"/>
    <w:rsid w:val="00151ABB"/>
    <w:rsid w:val="00300B7B"/>
    <w:rsid w:val="005C0291"/>
    <w:rsid w:val="006F6E56"/>
    <w:rsid w:val="00770A29"/>
    <w:rsid w:val="00812F21"/>
    <w:rsid w:val="008629B0"/>
    <w:rsid w:val="00870268"/>
    <w:rsid w:val="008A34FE"/>
    <w:rsid w:val="00B61203"/>
    <w:rsid w:val="00C93D9C"/>
    <w:rsid w:val="00E11123"/>
    <w:rsid w:val="00EA4E8F"/>
    <w:rsid w:val="00E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1036A8-8C06-401E-B1B7-E844DA6F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0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918E6"/>
  </w:style>
  <w:style w:type="character" w:styleId="Hypertextovodkaz">
    <w:name w:val="Hyperlink"/>
    <w:basedOn w:val="Standardnpsmoodstavce"/>
    <w:uiPriority w:val="99"/>
    <w:semiHidden/>
    <w:unhideWhenUsed/>
    <w:rsid w:val="000918E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02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7026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EA4E8F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Vostřelová</cp:lastModifiedBy>
  <cp:revision>2</cp:revision>
  <dcterms:created xsi:type="dcterms:W3CDTF">2019-05-24T07:41:00Z</dcterms:created>
  <dcterms:modified xsi:type="dcterms:W3CDTF">2019-05-24T07:41:00Z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cen10625@csin.cz</vt:lpwstr>
  </property>
  <property fmtid="{D5CDD505-2E9C-101B-9397-08002B2CF9AE}" pid="5" name="MSIP_Label_2b3a104e-2916-42dc-a2f6-6210338509ed_SetDate">
    <vt:lpwstr>2019-01-24T09:10:02.8820987Z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